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D15FA1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24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3. ΓΝΩΣΤΙΚΟ ΑΝΤΙΚΕΙΜΕΝΟ : ΔΙΕΘΝΗ ΟΙΚΟΝΟΜΙΚΑ</w:t>
      </w:r>
    </w:p>
    <w:p w:rsidR="0015486C" w:rsidRDefault="0015486C" w:rsidP="0015486C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ΣΥΜΕΩΝΙΔΗΣ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ΣΠΥΡΙΔΩΝ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ΑΓΟΡΕΣ ΧΡΗΜΑΤΟΣ &amp; ΚΕΦΑΛΑΙΟΥ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763/14-8-2008 τ. Γ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15486C" w:rsidRPr="00DD1541" w:rsidRDefault="0015486C" w:rsidP="0015486C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420" w:type="dxa"/>
        <w:tblInd w:w="108" w:type="dxa"/>
        <w:tblLayout w:type="fixed"/>
        <w:tblLook w:val="0000"/>
      </w:tblPr>
      <w:tblGrid>
        <w:gridCol w:w="360"/>
        <w:gridCol w:w="1620"/>
        <w:gridCol w:w="1260"/>
        <w:gridCol w:w="1260"/>
        <w:gridCol w:w="1620"/>
        <w:gridCol w:w="1800"/>
        <w:gridCol w:w="1440"/>
        <w:gridCol w:w="3060"/>
      </w:tblGrid>
      <w:tr w:rsidR="0015486C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A15E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ΚΟΝΤΗΣ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ΑΝΤΩΝΙΟΣ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ΤΜΗΜΑ ΠΟΛΙΤΙΚΗΣ ΕΠΙΣΤΗΜΗΣ ΚΑΙ ΔΗΜΟΣΙΑΣ ΔΙΟΙΚΗΣΗΣ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ΔΙΕΘΝΕΙΣ ΟΙΚΟΝΟΜΙΚΕΣ  ΣΧΕΣΕΙΣ 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ΜΑΡΔΑΣ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ΔΗΜΗΤΡΙΟΣ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ΑΠΘ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ΔΙΕΘΝΕΙΣ ΕΜΠΟΡΙΚΕΣ ΣΧΕΣΕΙΣ ΜΕ ΕΜΦΑΣΗ ΤΙΣ ΕΜΠΟΡΙΚΕΣ ΣΧΕΣΕΙΣ ΤΗΣ ΕΥΡΩΠΑΪΚΗΣ ΟΙΚΟΝΟΜΙΚΗΣ ΚΟΙΝΟΤΗΤΑΣ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ΦΙΛΙΠΠΟΠΟΥΛΟΣ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ΑΠΟΣΤΟΛΟΣ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 ΔΙΕΘΝΗ ΜΑΚΡΟΟΙΚΟΝΟΜΙΚΗ ΚΑΙ ΧΡΗΜΑΤΟΟΙΚΟΝΟΜΙΚΗ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ΚΑΛΥΒΙΤΗΣ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ΣΑΡΑΝΤΗΣ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ΜΑΚΡΟΟΙΚΟΝΟΜΙΚΗ ΚΑΙ ΔΙΕΘΝΗΣ ΧΡΗΜΑΤΟΔΟΤΙΚΗ</w:t>
            </w:r>
          </w:p>
        </w:tc>
      </w:tr>
      <w:tr w:rsidR="0015486C" w:rsidRPr="00804115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ΜΟΥΤΟΣ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ΘΩΜΑΣ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ΟΙΚΟΝΟΜΙΚΑ ΑΝΤΙΚΕΙΜΕΝΑ ΜΕ ΕΜΦΑΣΗ ΣΤΑ ΔΙΕΘΝΗ ΟΙΚΟΝΟΜΙΚΑ</w:t>
            </w:r>
          </w:p>
        </w:tc>
      </w:tr>
      <w:tr w:rsidR="0015486C" w:rsidRPr="00804115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ΧΑΤΖΗΠΑΝΑΓΙΩΤΟΥ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ΠΑΝΑΓΙΩΤΗΣ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ΘΕΩΡΙΑ ΚΑΙ ΠΟΛΙΤΙΚΗ ΔΙΕΘΝΟΥΣ ΕΜΠΟΡΙΟΥ</w:t>
            </w:r>
          </w:p>
        </w:tc>
      </w:tr>
      <w:tr w:rsidR="0015486C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ΠΑΠΑΖΟΓΛΟΥ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ΧΡΗΣΤΟΣ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ΠΑΝΤΕΙΟ ΠΑΝ/ΜΙΟ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ΔΙΕΘΝΩΝ ΚΑΙ ΕΥΡΩΠΑΪΚΩΝ 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ΔΙΕΘΝΗΣ ΠΟΛΙΤΙΚΗ ΟΙΚΟΝΟΜΙΑ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ΚΟΤΙΟΣ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ΑΓΓΕΛΟΣ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ΔΙΕΘΝΩΝ ΚΑΙ ΕΥΡΩΠΑΪΚΩΝ 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ΔΙΕΘΝΕΙΣ ΚΑΙ ΕΥΡΩΠΑΪΚΕΣ ΟΙΚΟΝΟΜΙΚΕΣ ΚΑΙ ΑΝΑΠΤΥΞΙΑΚΕΣ ΣΧΕΣΕΙΣ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ΚΑΡΦΑΚΗΣ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ΔΙΕΘΝΕΙΣ ΟΙΚΟΝΟΜΙΚΕΣ ΣΧΕΣΕΙΣ</w:t>
            </w:r>
          </w:p>
        </w:tc>
      </w:tr>
      <w:tr w:rsidR="0015486C" w:rsidRPr="00FB59EA" w:rsidTr="003D5BD5">
        <w:trPr>
          <w:trHeight w:val="613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ΚΑΡΑΜΟΥΖΗΣ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ΝΙΚΟΛΑΟΣ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ΔΙΕΘΝΕΙΣ ΑΓΟΡΕΣ ΧΡΗΜΑΤΟΣ ΚΑΙ ΚΕΦΑΛΑΙΟΥ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ΜΠΡΙΣΙΜΗΣ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ΣΟΦΟΚΛΗΣ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 ΔΙΕΘΝΗ ΝΟΜΙΣΜΑΤΙΚΗ ΑΝΑΛΥΣΗ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b/>
          <w:sz w:val="16"/>
          <w:u w:val="single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1521" w:type="dxa"/>
        <w:tblInd w:w="107" w:type="dxa"/>
        <w:tblLayout w:type="fixed"/>
        <w:tblLook w:val="0000"/>
      </w:tblPr>
      <w:tblGrid>
        <w:gridCol w:w="358"/>
        <w:gridCol w:w="2703"/>
        <w:gridCol w:w="2520"/>
        <w:gridCol w:w="1080"/>
        <w:gridCol w:w="4860"/>
      </w:tblGrid>
      <w:tr w:rsidR="0015486C" w:rsidTr="003D5BD5">
        <w:trPr>
          <w:trHeight w:val="1"/>
        </w:trPr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Pascalis Raimondos Moller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Copenhagen Business School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International Trade</w:t>
            </w:r>
          </w:p>
        </w:tc>
      </w:tr>
      <w:tr w:rsidR="0015486C" w:rsidTr="003D5BD5">
        <w:trPr>
          <w:trHeight w:val="1"/>
        </w:trPr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Μιχαήλ Μιχαήλ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International Trade</w:t>
            </w:r>
          </w:p>
        </w:tc>
      </w:tr>
      <w:tr w:rsidR="0015486C" w:rsidRPr="000C2F7D" w:rsidTr="003D5BD5">
        <w:tblPrEx>
          <w:tblCellMar>
            <w:left w:w="10" w:type="dxa"/>
            <w:right w:w="10" w:type="dxa"/>
          </w:tblCellMar>
        </w:tblPrEx>
        <w:trPr>
          <w:trHeight w:val="15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8"/>
                <w:szCs w:val="18"/>
                <w:lang w:val="en-US"/>
              </w:rPr>
            </w:pPr>
            <w:r w:rsidRPr="006817A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Manthos D. Delis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University of Surrey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Financial Economics and Banking</w:t>
            </w:r>
          </w:p>
        </w:tc>
      </w:tr>
      <w:tr w:rsidR="0015486C" w:rsidRPr="000C2F7D" w:rsidTr="003D5BD5">
        <w:tblPrEx>
          <w:tblCellMar>
            <w:left w:w="10" w:type="dxa"/>
            <w:right w:w="10" w:type="dxa"/>
          </w:tblCellMar>
        </w:tblPrEx>
        <w:trPr>
          <w:trHeight w:val="15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Evi Pappa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European University Institute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Macroeconomics</w:t>
            </w:r>
          </w:p>
        </w:tc>
      </w:tr>
      <w:tr w:rsidR="0015486C" w:rsidRPr="00D15FA1" w:rsidTr="003D5BD5">
        <w:tblPrEx>
          <w:tblCellMar>
            <w:left w:w="10" w:type="dxa"/>
            <w:right w:w="10" w:type="dxa"/>
          </w:tblCellMar>
        </w:tblPrEx>
        <w:trPr>
          <w:trHeight w:val="15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Harris Dellas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Bern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  <w:lang w:val="en-GB"/>
              </w:rPr>
            </w:pPr>
            <w:r w:rsidRPr="006817A1">
              <w:rPr>
                <w:sz w:val="18"/>
                <w:szCs w:val="18"/>
                <w:lang w:val="en-GB"/>
              </w:rPr>
              <w:t>Monetary Macroeconomics, Intrnational Macroeconomics, International Finance, International Trade</w:t>
            </w:r>
          </w:p>
        </w:tc>
      </w:tr>
    </w:tbl>
    <w:p w:rsidR="0015486C" w:rsidRPr="004150C0" w:rsidRDefault="0015486C" w:rsidP="0015486C">
      <w:pPr>
        <w:spacing w:after="200" w:line="276" w:lineRule="auto"/>
        <w:rPr>
          <w:rFonts w:ascii="Times New Roman" w:hAnsi="Times New Roman"/>
          <w:sz w:val="16"/>
          <w:lang w:val="en-GB"/>
        </w:rPr>
      </w:pPr>
    </w:p>
    <w:p w:rsidR="0015486C" w:rsidRPr="004150C0" w:rsidRDefault="0015486C" w:rsidP="0015486C">
      <w:pPr>
        <w:spacing w:after="200" w:line="276" w:lineRule="auto"/>
        <w:rPr>
          <w:rFonts w:ascii="Times New Roman" w:hAnsi="Times New Roman"/>
          <w:sz w:val="16"/>
          <w:lang w:val="en-GB"/>
        </w:rPr>
      </w:pPr>
    </w:p>
    <w:sectPr w:rsidR="0015486C" w:rsidRPr="004150C0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99" w:rsidRDefault="00F35599" w:rsidP="00783C60">
      <w:pPr>
        <w:pStyle w:val="-"/>
      </w:pPr>
      <w:r>
        <w:separator/>
      </w:r>
    </w:p>
  </w:endnote>
  <w:endnote w:type="continuationSeparator" w:id="1">
    <w:p w:rsidR="00F35599" w:rsidRDefault="00F35599" w:rsidP="00783C60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783C60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783C60" w:rsidRPr="005E20C8">
      <w:rPr>
        <w:sz w:val="16"/>
        <w:szCs w:val="16"/>
      </w:rPr>
      <w:fldChar w:fldCharType="separate"/>
    </w:r>
    <w:r w:rsidR="00D15FA1">
      <w:rPr>
        <w:noProof/>
        <w:sz w:val="16"/>
        <w:szCs w:val="16"/>
      </w:rPr>
      <w:t>2</w:t>
    </w:r>
    <w:r w:rsidR="00783C60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783C60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783C60" w:rsidRPr="005E20C8">
      <w:rPr>
        <w:sz w:val="16"/>
        <w:szCs w:val="16"/>
      </w:rPr>
      <w:fldChar w:fldCharType="separate"/>
    </w:r>
    <w:r w:rsidR="00D15FA1">
      <w:rPr>
        <w:noProof/>
        <w:sz w:val="16"/>
        <w:szCs w:val="16"/>
      </w:rPr>
      <w:t>2</w:t>
    </w:r>
    <w:r w:rsidR="00783C60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99" w:rsidRDefault="00F35599" w:rsidP="00783C60">
      <w:pPr>
        <w:pStyle w:val="-"/>
      </w:pPr>
      <w:r>
        <w:separator/>
      </w:r>
    </w:p>
  </w:footnote>
  <w:footnote w:type="continuationSeparator" w:id="1">
    <w:p w:rsidR="00F35599" w:rsidRDefault="00F35599" w:rsidP="00783C60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4A06B4"/>
    <w:rsid w:val="00783C60"/>
    <w:rsid w:val="00D15FA1"/>
    <w:rsid w:val="00F3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2013-03-20T10:12:00Z</dcterms:modified>
</cp:coreProperties>
</file>